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B0178" w14:textId="77777777" w:rsidR="00C32EF5" w:rsidRPr="00C32EF5" w:rsidRDefault="00C32EF5" w:rsidP="00C32EF5">
      <w:pPr>
        <w:pStyle w:val="Heading1"/>
        <w:jc w:val="center"/>
        <w:rPr>
          <w:rFonts w:ascii="Times New Roman" w:hAnsi="Times New Roman" w:cs="Times New Roman"/>
          <w:b/>
          <w:bCs/>
          <w:color w:val="auto"/>
          <w:sz w:val="24"/>
          <w:szCs w:val="24"/>
        </w:rPr>
      </w:pPr>
      <w:r w:rsidRPr="00C32EF5">
        <w:rPr>
          <w:rFonts w:ascii="Times New Roman" w:hAnsi="Times New Roman" w:cs="Times New Roman"/>
          <w:b/>
          <w:bCs/>
          <w:color w:val="auto"/>
          <w:sz w:val="24"/>
          <w:szCs w:val="24"/>
        </w:rPr>
        <w:t>SCOPE OF WORK</w:t>
      </w:r>
    </w:p>
    <w:p w14:paraId="638410CA" w14:textId="6AACF738" w:rsidR="00C32EF5" w:rsidRPr="00C32EF5"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Indiana State Police</w:t>
      </w:r>
      <w:r w:rsidRPr="00C32EF5">
        <w:rPr>
          <w:rFonts w:ascii="Times New Roman" w:hAnsi="Times New Roman" w:cs="Times New Roman"/>
          <w:sz w:val="24"/>
          <w:szCs w:val="24"/>
        </w:rPr>
        <w:br/>
        <w:t>Employment Services &amp; Recruiting Section (ESR)</w:t>
      </w:r>
      <w:r w:rsidRPr="00C32EF5">
        <w:rPr>
          <w:rFonts w:ascii="Times New Roman" w:hAnsi="Times New Roman" w:cs="Times New Roman"/>
          <w:sz w:val="24"/>
          <w:szCs w:val="24"/>
        </w:rPr>
        <w:br/>
      </w:r>
      <w:proofErr w:type="gramStart"/>
      <w:r w:rsidRPr="00C32EF5">
        <w:rPr>
          <w:rFonts w:ascii="Times New Roman" w:hAnsi="Times New Roman" w:cs="Times New Roman"/>
          <w:sz w:val="24"/>
          <w:szCs w:val="24"/>
        </w:rPr>
        <w:t>Social Media</w:t>
      </w:r>
      <w:proofErr w:type="gramEnd"/>
      <w:r w:rsidRPr="00C32EF5">
        <w:rPr>
          <w:rFonts w:ascii="Times New Roman" w:hAnsi="Times New Roman" w:cs="Times New Roman"/>
          <w:sz w:val="24"/>
          <w:szCs w:val="24"/>
        </w:rPr>
        <w:t xml:space="preserve"> &amp; Online Background Screening</w:t>
      </w:r>
    </w:p>
    <w:p w14:paraId="5C84F810" w14:textId="77777777" w:rsidR="00C32EF5" w:rsidRPr="00C32EF5" w:rsidRDefault="00C32EF5" w:rsidP="00C32EF5">
      <w:pPr>
        <w:pStyle w:val="Heading2"/>
        <w:rPr>
          <w:rFonts w:ascii="Times New Roman" w:hAnsi="Times New Roman" w:cs="Times New Roman"/>
          <w:b/>
          <w:bCs/>
          <w:color w:val="auto"/>
          <w:sz w:val="24"/>
          <w:szCs w:val="24"/>
        </w:rPr>
      </w:pPr>
      <w:r w:rsidRPr="00C32EF5">
        <w:rPr>
          <w:rFonts w:ascii="Times New Roman" w:hAnsi="Times New Roman" w:cs="Times New Roman"/>
          <w:b/>
          <w:bCs/>
          <w:color w:val="auto"/>
          <w:sz w:val="24"/>
          <w:szCs w:val="24"/>
        </w:rPr>
        <w:t>Objective</w:t>
      </w:r>
    </w:p>
    <w:p w14:paraId="742D601E" w14:textId="0E07211C" w:rsidR="00C32EF5" w:rsidRPr="00C32EF5"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 xml:space="preserve">The Indiana State Police (ISP), through the Employment Services &amp; Recruiting Section (ESR), is seeking a qualified third-party vendor to provide automated, technology-driven social media and online presence screening services as part of the ISP applicant background investigation process. The goal is to enhance decision-making and identify any potential risk factors or conduct unbecoming of a </w:t>
      </w:r>
      <w:r w:rsidR="00A92586">
        <w:rPr>
          <w:rFonts w:ascii="Times New Roman" w:hAnsi="Times New Roman" w:cs="Times New Roman"/>
          <w:sz w:val="24"/>
          <w:szCs w:val="24"/>
        </w:rPr>
        <w:t>State Police employee</w:t>
      </w:r>
      <w:r w:rsidRPr="00C32EF5">
        <w:rPr>
          <w:rFonts w:ascii="Times New Roman" w:hAnsi="Times New Roman" w:cs="Times New Roman"/>
          <w:sz w:val="24"/>
          <w:szCs w:val="24"/>
        </w:rPr>
        <w:t xml:space="preserve"> based on publicly available online content.</w:t>
      </w:r>
    </w:p>
    <w:p w14:paraId="0BCD44BB" w14:textId="77777777" w:rsidR="00C32EF5" w:rsidRPr="00C32EF5" w:rsidRDefault="00C32EF5" w:rsidP="00C32EF5">
      <w:pPr>
        <w:pStyle w:val="Heading2"/>
        <w:rPr>
          <w:rFonts w:ascii="Times New Roman" w:hAnsi="Times New Roman" w:cs="Times New Roman"/>
          <w:b/>
          <w:bCs/>
          <w:color w:val="auto"/>
          <w:sz w:val="24"/>
          <w:szCs w:val="24"/>
        </w:rPr>
      </w:pPr>
      <w:r w:rsidRPr="00C32EF5">
        <w:rPr>
          <w:rFonts w:ascii="Times New Roman" w:hAnsi="Times New Roman" w:cs="Times New Roman"/>
          <w:b/>
          <w:bCs/>
          <w:color w:val="auto"/>
          <w:sz w:val="24"/>
          <w:szCs w:val="24"/>
        </w:rPr>
        <w:t>Overview</w:t>
      </w:r>
    </w:p>
    <w:p w14:paraId="5CD267B7" w14:textId="1D5321C8" w:rsidR="00C32EF5" w:rsidRPr="00C32EF5"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As the use of social media and digital platforms continues to grow, so too does the need for comprehensive applicant screenings that include online behavior and content analysis. The selected vendor must use a combination of AI technology and human review to conduct in-depth screenings of applicants' publicly available online activity across multiple platforms. The screenings must produce standardized reports, highlighting behaviors relevant to professional standards in law enforcement</w:t>
      </w:r>
      <w:r w:rsidR="00A92586">
        <w:rPr>
          <w:rFonts w:ascii="Times New Roman" w:hAnsi="Times New Roman" w:cs="Times New Roman"/>
          <w:sz w:val="24"/>
          <w:szCs w:val="24"/>
        </w:rPr>
        <w:t>.</w:t>
      </w:r>
    </w:p>
    <w:p w14:paraId="0EE1B0A6" w14:textId="77777777" w:rsidR="00C32EF5" w:rsidRPr="00C32EF5" w:rsidRDefault="00C32EF5" w:rsidP="00C32EF5">
      <w:pPr>
        <w:pStyle w:val="Heading2"/>
        <w:rPr>
          <w:rFonts w:ascii="Times New Roman" w:hAnsi="Times New Roman" w:cs="Times New Roman"/>
          <w:b/>
          <w:bCs/>
          <w:color w:val="auto"/>
          <w:sz w:val="24"/>
          <w:szCs w:val="24"/>
        </w:rPr>
      </w:pPr>
      <w:r w:rsidRPr="00C32EF5">
        <w:rPr>
          <w:rFonts w:ascii="Times New Roman" w:hAnsi="Times New Roman" w:cs="Times New Roman"/>
          <w:b/>
          <w:bCs/>
          <w:color w:val="auto"/>
          <w:sz w:val="24"/>
          <w:szCs w:val="24"/>
        </w:rPr>
        <w:t>Scope of Services</w:t>
      </w:r>
    </w:p>
    <w:p w14:paraId="034289A1" w14:textId="77777777" w:rsidR="00C32EF5" w:rsidRPr="00C32EF5"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The third-party vendor shall provide the following services:</w:t>
      </w:r>
    </w:p>
    <w:p w14:paraId="2AA6973E"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Comprehensive Social Media &amp; Online Presence Screening</w:t>
      </w:r>
    </w:p>
    <w:p w14:paraId="5404F061"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Behavioral Risk Screening Categories</w:t>
      </w:r>
    </w:p>
    <w:p w14:paraId="5C869553"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Customization and Filtering</w:t>
      </w:r>
    </w:p>
    <w:p w14:paraId="321B740F"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Candidate Report Generation</w:t>
      </w:r>
    </w:p>
    <w:p w14:paraId="54232113" w14:textId="7A82D5D3" w:rsidR="00C32EF5" w:rsidRPr="00AE553A" w:rsidRDefault="00C32EF5" w:rsidP="00AE553A">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System Access &amp; Support</w:t>
      </w:r>
    </w:p>
    <w:p w14:paraId="41B70DCF" w14:textId="77777777" w:rsidR="00DD68DE" w:rsidRDefault="00C32EF5" w:rsidP="00DD68DE">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Data Security &amp; Retention</w:t>
      </w:r>
    </w:p>
    <w:p w14:paraId="148B18DF" w14:textId="4F5DFE43" w:rsidR="00DD68DE" w:rsidRDefault="00DD68DE" w:rsidP="00DD68DE">
      <w:pPr>
        <w:pStyle w:val="ListBullet"/>
        <w:tabs>
          <w:tab w:val="num" w:pos="720"/>
        </w:tabs>
        <w:ind w:left="720" w:hanging="360"/>
        <w:rPr>
          <w:rFonts w:ascii="Times New Roman" w:hAnsi="Times New Roman" w:cs="Times New Roman"/>
          <w:sz w:val="24"/>
          <w:szCs w:val="24"/>
        </w:rPr>
      </w:pPr>
      <w:r w:rsidRPr="00DD68DE">
        <w:rPr>
          <w:rFonts w:ascii="Times New Roman" w:hAnsi="Times New Roman" w:cs="Times New Roman"/>
          <w:sz w:val="24"/>
          <w:szCs w:val="24"/>
        </w:rPr>
        <w:t xml:space="preserve">The vendor shall retain all records, reports, and associated data resulting from social media background screenings for a period not to exceed three (3) years from the date of report generation. </w:t>
      </w:r>
      <w:r w:rsidR="00A92586">
        <w:rPr>
          <w:rFonts w:ascii="Times New Roman" w:hAnsi="Times New Roman" w:cs="Times New Roman"/>
          <w:sz w:val="24"/>
          <w:szCs w:val="24"/>
        </w:rPr>
        <w:t>After</w:t>
      </w:r>
      <w:r w:rsidRPr="00DD68DE">
        <w:rPr>
          <w:rFonts w:ascii="Times New Roman" w:hAnsi="Times New Roman" w:cs="Times New Roman"/>
          <w:sz w:val="24"/>
          <w:szCs w:val="24"/>
        </w:rPr>
        <w:t xml:space="preserve"> this retention period, all data</w:t>
      </w:r>
      <w:r w:rsidR="00A92586">
        <w:rPr>
          <w:rFonts w:ascii="Times New Roman" w:hAnsi="Times New Roman" w:cs="Times New Roman"/>
          <w:sz w:val="24"/>
          <w:szCs w:val="24"/>
        </w:rPr>
        <w:t xml:space="preserve">, whether stored digitally or physically, </w:t>
      </w:r>
      <w:r w:rsidRPr="00DD68DE">
        <w:rPr>
          <w:rFonts w:ascii="Times New Roman" w:hAnsi="Times New Roman" w:cs="Times New Roman"/>
          <w:sz w:val="24"/>
          <w:szCs w:val="24"/>
        </w:rPr>
        <w:t>must be permanently purged from the vendor’s systems and any affiliated storage environments.</w:t>
      </w:r>
    </w:p>
    <w:p w14:paraId="3EE12E4C" w14:textId="1C977180" w:rsidR="00DD68DE" w:rsidRPr="00DD68DE" w:rsidRDefault="00DD68DE" w:rsidP="00DD68DE">
      <w:pPr>
        <w:pStyle w:val="ListBullet"/>
        <w:tabs>
          <w:tab w:val="num" w:pos="720"/>
        </w:tabs>
        <w:ind w:left="720" w:hanging="360"/>
        <w:rPr>
          <w:rFonts w:ascii="Times New Roman" w:hAnsi="Times New Roman" w:cs="Times New Roman"/>
          <w:sz w:val="24"/>
          <w:szCs w:val="24"/>
        </w:rPr>
      </w:pPr>
      <w:r w:rsidRPr="00DD68DE">
        <w:rPr>
          <w:rFonts w:ascii="Times New Roman" w:hAnsi="Times New Roman" w:cs="Times New Roman"/>
          <w:sz w:val="24"/>
          <w:szCs w:val="24"/>
        </w:rPr>
        <w:t>Written confirmation of the purge must be provided to the Indiana State Police upon request. Data must not be used for any other purpose outside of fulfilling the contract.</w:t>
      </w:r>
    </w:p>
    <w:p w14:paraId="2B5C66DD" w14:textId="77777777" w:rsidR="00A4151C"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Each of the above services should include the following:</w:t>
      </w:r>
    </w:p>
    <w:p w14:paraId="7C693FF3" w14:textId="77777777" w:rsidR="00A4151C" w:rsidRDefault="00C32EF5" w:rsidP="00A4151C">
      <w:pPr>
        <w:pStyle w:val="ListParagraph"/>
        <w:numPr>
          <w:ilvl w:val="0"/>
          <w:numId w:val="3"/>
        </w:numPr>
        <w:rPr>
          <w:rFonts w:ascii="Times New Roman" w:hAnsi="Times New Roman" w:cs="Times New Roman"/>
          <w:sz w:val="24"/>
          <w:szCs w:val="24"/>
        </w:rPr>
      </w:pPr>
      <w:r w:rsidRPr="00A4151C">
        <w:rPr>
          <w:rFonts w:ascii="Times New Roman" w:hAnsi="Times New Roman" w:cs="Times New Roman"/>
          <w:sz w:val="24"/>
          <w:szCs w:val="24"/>
        </w:rPr>
        <w:lastRenderedPageBreak/>
        <w:t>Screening major social media and public platforms</w:t>
      </w:r>
    </w:p>
    <w:p w14:paraId="7C90B2AA" w14:textId="77777777" w:rsidR="00A4151C" w:rsidRDefault="00C32EF5" w:rsidP="00A4151C">
      <w:pPr>
        <w:pStyle w:val="ListParagraph"/>
        <w:numPr>
          <w:ilvl w:val="0"/>
          <w:numId w:val="3"/>
        </w:numPr>
        <w:rPr>
          <w:rFonts w:ascii="Times New Roman" w:hAnsi="Times New Roman" w:cs="Times New Roman"/>
          <w:sz w:val="24"/>
          <w:szCs w:val="24"/>
        </w:rPr>
      </w:pPr>
      <w:r w:rsidRPr="00A4151C">
        <w:rPr>
          <w:rFonts w:ascii="Times New Roman" w:hAnsi="Times New Roman" w:cs="Times New Roman"/>
          <w:sz w:val="24"/>
          <w:szCs w:val="24"/>
        </w:rPr>
        <w:t>Flagging illegal activity, hate speech, violence, harassment, etc.</w:t>
      </w:r>
    </w:p>
    <w:p w14:paraId="3F0C3F3E" w14:textId="77777777" w:rsidR="00A4151C" w:rsidRDefault="00C32EF5" w:rsidP="00A4151C">
      <w:pPr>
        <w:pStyle w:val="ListParagraph"/>
        <w:numPr>
          <w:ilvl w:val="0"/>
          <w:numId w:val="3"/>
        </w:numPr>
        <w:rPr>
          <w:rFonts w:ascii="Times New Roman" w:hAnsi="Times New Roman" w:cs="Times New Roman"/>
          <w:sz w:val="24"/>
          <w:szCs w:val="24"/>
        </w:rPr>
      </w:pPr>
      <w:r w:rsidRPr="00A4151C">
        <w:rPr>
          <w:rFonts w:ascii="Times New Roman" w:hAnsi="Times New Roman" w:cs="Times New Roman"/>
          <w:sz w:val="24"/>
          <w:szCs w:val="24"/>
        </w:rPr>
        <w:t>Clear, downloadable reports with links/screenshots</w:t>
      </w:r>
    </w:p>
    <w:p w14:paraId="4AEED809" w14:textId="4BD3B3C1" w:rsidR="00A92586" w:rsidRPr="00A92586" w:rsidRDefault="00A4151C" w:rsidP="00A92586">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D</w:t>
      </w:r>
      <w:r w:rsidR="00C32EF5" w:rsidRPr="00A4151C">
        <w:rPr>
          <w:rFonts w:ascii="Times New Roman" w:hAnsi="Times New Roman" w:cs="Times New Roman"/>
          <w:sz w:val="24"/>
          <w:szCs w:val="24"/>
        </w:rPr>
        <w:t xml:space="preserve">ashboard with </w:t>
      </w:r>
      <w:r w:rsidR="00AE553A">
        <w:rPr>
          <w:rFonts w:ascii="Times New Roman" w:hAnsi="Times New Roman" w:cs="Times New Roman"/>
          <w:sz w:val="24"/>
          <w:szCs w:val="24"/>
        </w:rPr>
        <w:t>multiple</w:t>
      </w:r>
      <w:r w:rsidR="00C32EF5" w:rsidRPr="00A4151C">
        <w:rPr>
          <w:rFonts w:ascii="Times New Roman" w:hAnsi="Times New Roman" w:cs="Times New Roman"/>
          <w:sz w:val="24"/>
          <w:szCs w:val="24"/>
        </w:rPr>
        <w:t xml:space="preserve"> users and dedicated support</w:t>
      </w:r>
    </w:p>
    <w:p w14:paraId="6188A5B6" w14:textId="4A089BE9" w:rsidR="00C32EF5" w:rsidRPr="00A4151C" w:rsidRDefault="00C32EF5" w:rsidP="00C32EF5">
      <w:pPr>
        <w:pStyle w:val="ListParagraph"/>
        <w:numPr>
          <w:ilvl w:val="0"/>
          <w:numId w:val="3"/>
        </w:numPr>
        <w:rPr>
          <w:rFonts w:ascii="Times New Roman" w:hAnsi="Times New Roman" w:cs="Times New Roman"/>
          <w:sz w:val="24"/>
          <w:szCs w:val="24"/>
        </w:rPr>
      </w:pPr>
      <w:r w:rsidRPr="00A4151C">
        <w:rPr>
          <w:rFonts w:ascii="Times New Roman" w:hAnsi="Times New Roman" w:cs="Times New Roman"/>
          <w:sz w:val="24"/>
          <w:szCs w:val="24"/>
        </w:rPr>
        <w:t>Industry-standard data security protocols</w:t>
      </w:r>
    </w:p>
    <w:p w14:paraId="4B78EFE2" w14:textId="77777777" w:rsidR="00C32EF5" w:rsidRPr="00A4151C" w:rsidRDefault="00C32EF5" w:rsidP="00C32EF5">
      <w:pPr>
        <w:pStyle w:val="Heading2"/>
        <w:rPr>
          <w:rFonts w:ascii="Times New Roman" w:hAnsi="Times New Roman" w:cs="Times New Roman"/>
          <w:b/>
          <w:bCs/>
          <w:color w:val="auto"/>
          <w:sz w:val="24"/>
          <w:szCs w:val="24"/>
        </w:rPr>
      </w:pPr>
      <w:r w:rsidRPr="00A4151C">
        <w:rPr>
          <w:rFonts w:ascii="Times New Roman" w:hAnsi="Times New Roman" w:cs="Times New Roman"/>
          <w:b/>
          <w:bCs/>
          <w:color w:val="auto"/>
          <w:sz w:val="24"/>
          <w:szCs w:val="24"/>
        </w:rPr>
        <w:t>Vendor Quote Requirements</w:t>
      </w:r>
    </w:p>
    <w:p w14:paraId="79979D38" w14:textId="77777777" w:rsid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Annual platform licensing or SaaS access fee.</w:t>
      </w:r>
    </w:p>
    <w:p w14:paraId="33BF4257" w14:textId="05B29F96" w:rsidR="00A4151C" w:rsidRPr="00C32EF5" w:rsidRDefault="00A4151C" w:rsidP="00C32EF5">
      <w:pPr>
        <w:pStyle w:val="ListBullet"/>
        <w:tabs>
          <w:tab w:val="num" w:pos="360"/>
        </w:tabs>
        <w:ind w:left="360" w:hanging="360"/>
        <w:rPr>
          <w:rFonts w:ascii="Times New Roman" w:hAnsi="Times New Roman" w:cs="Times New Roman"/>
          <w:sz w:val="24"/>
          <w:szCs w:val="24"/>
        </w:rPr>
      </w:pPr>
      <w:r>
        <w:rPr>
          <w:rFonts w:ascii="Times New Roman" w:hAnsi="Times New Roman" w:cs="Times New Roman"/>
          <w:sz w:val="24"/>
          <w:szCs w:val="24"/>
        </w:rPr>
        <w:t xml:space="preserve">SaaS </w:t>
      </w:r>
      <w:r w:rsidR="00DD68DE">
        <w:rPr>
          <w:rFonts w:ascii="Times New Roman" w:hAnsi="Times New Roman" w:cs="Times New Roman"/>
          <w:sz w:val="24"/>
          <w:szCs w:val="24"/>
        </w:rPr>
        <w:t>terms and conditions</w:t>
      </w:r>
    </w:p>
    <w:p w14:paraId="487771AB"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Per-applicant screening cost.</w:t>
      </w:r>
    </w:p>
    <w:p w14:paraId="29507E92"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Estimated turnaround time per screening (must be 1–3 business days).</w:t>
      </w:r>
    </w:p>
    <w:p w14:paraId="10146B87"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Description of screening methodology and AI technology used.</w:t>
      </w:r>
    </w:p>
    <w:p w14:paraId="7A6DCE44"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Sample report (redacted).</w:t>
      </w:r>
    </w:p>
    <w:p w14:paraId="618EF7B1" w14:textId="01AD4CFE"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 xml:space="preserve">Details of compliance with </w:t>
      </w:r>
      <w:r w:rsidR="00A92586">
        <w:rPr>
          <w:rFonts w:ascii="Times New Roman" w:hAnsi="Times New Roman" w:cs="Times New Roman"/>
          <w:sz w:val="24"/>
          <w:szCs w:val="24"/>
        </w:rPr>
        <w:t>Fair Credit Reporting Act (</w:t>
      </w:r>
      <w:r w:rsidRPr="00C32EF5">
        <w:rPr>
          <w:rFonts w:ascii="Times New Roman" w:hAnsi="Times New Roman" w:cs="Times New Roman"/>
          <w:sz w:val="24"/>
          <w:szCs w:val="24"/>
        </w:rPr>
        <w:t>FCRA</w:t>
      </w:r>
      <w:r w:rsidR="00A92586">
        <w:rPr>
          <w:rFonts w:ascii="Times New Roman" w:hAnsi="Times New Roman" w:cs="Times New Roman"/>
          <w:sz w:val="24"/>
          <w:szCs w:val="24"/>
        </w:rPr>
        <w:t>)</w:t>
      </w:r>
      <w:r w:rsidRPr="00C32EF5">
        <w:rPr>
          <w:rFonts w:ascii="Times New Roman" w:hAnsi="Times New Roman" w:cs="Times New Roman"/>
          <w:sz w:val="24"/>
          <w:szCs w:val="24"/>
        </w:rPr>
        <w:t xml:space="preserve"> and privacy laws.</w:t>
      </w:r>
    </w:p>
    <w:p w14:paraId="44C13E35" w14:textId="2F3EF44F"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Customer service and support contact process</w:t>
      </w:r>
      <w:r w:rsidR="00DD68DE">
        <w:rPr>
          <w:rFonts w:ascii="Times New Roman" w:hAnsi="Times New Roman" w:cs="Times New Roman"/>
          <w:sz w:val="24"/>
          <w:szCs w:val="24"/>
        </w:rPr>
        <w:t xml:space="preserve"> (ISP will require a single point of contact)</w:t>
      </w:r>
      <w:r w:rsidRPr="00C32EF5">
        <w:rPr>
          <w:rFonts w:ascii="Times New Roman" w:hAnsi="Times New Roman" w:cs="Times New Roman"/>
          <w:sz w:val="24"/>
          <w:szCs w:val="24"/>
        </w:rPr>
        <w:t>.</w:t>
      </w:r>
    </w:p>
    <w:p w14:paraId="447C493A" w14:textId="77777777" w:rsidR="00C32EF5" w:rsidRPr="00C32EF5" w:rsidRDefault="00C32EF5" w:rsidP="00C32EF5">
      <w:pPr>
        <w:pStyle w:val="ListBullet"/>
        <w:tabs>
          <w:tab w:val="num" w:pos="360"/>
        </w:tabs>
        <w:ind w:left="360" w:hanging="360"/>
        <w:rPr>
          <w:rFonts w:ascii="Times New Roman" w:hAnsi="Times New Roman" w:cs="Times New Roman"/>
          <w:sz w:val="24"/>
          <w:szCs w:val="24"/>
        </w:rPr>
      </w:pPr>
      <w:r w:rsidRPr="00C32EF5">
        <w:rPr>
          <w:rFonts w:ascii="Times New Roman" w:hAnsi="Times New Roman" w:cs="Times New Roman"/>
          <w:sz w:val="24"/>
          <w:szCs w:val="24"/>
        </w:rPr>
        <w:t>References from at least two law enforcement or public-sector agencies using similar services.</w:t>
      </w:r>
    </w:p>
    <w:p w14:paraId="6F1204F8" w14:textId="77777777" w:rsidR="00C32EF5" w:rsidRPr="00DD68DE" w:rsidRDefault="00C32EF5" w:rsidP="00C32EF5">
      <w:pPr>
        <w:pStyle w:val="Heading2"/>
        <w:rPr>
          <w:rFonts w:ascii="Times New Roman" w:hAnsi="Times New Roman" w:cs="Times New Roman"/>
          <w:b/>
          <w:bCs/>
          <w:color w:val="auto"/>
          <w:sz w:val="24"/>
          <w:szCs w:val="24"/>
        </w:rPr>
      </w:pPr>
      <w:r w:rsidRPr="00DD68DE">
        <w:rPr>
          <w:rFonts w:ascii="Times New Roman" w:hAnsi="Times New Roman" w:cs="Times New Roman"/>
          <w:b/>
          <w:bCs/>
          <w:color w:val="auto"/>
          <w:sz w:val="24"/>
          <w:szCs w:val="24"/>
        </w:rPr>
        <w:t>Anticipated Volume</w:t>
      </w:r>
    </w:p>
    <w:p w14:paraId="21558233" w14:textId="77777777" w:rsidR="00C32EF5" w:rsidRPr="00C32EF5"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The ISP anticipates screening approximately 200–400 applicants annually. Vendors should provide scalable pricing based on this volume.</w:t>
      </w:r>
    </w:p>
    <w:p w14:paraId="6870ABC7" w14:textId="2AF2AD11" w:rsidR="00C32EF5" w:rsidRPr="00DD68DE" w:rsidRDefault="00DD68DE" w:rsidP="00C32EF5">
      <w:pPr>
        <w:pStyle w:val="Heading2"/>
        <w:rPr>
          <w:rFonts w:ascii="Times New Roman" w:hAnsi="Times New Roman" w:cs="Times New Roman"/>
          <w:b/>
          <w:bCs/>
          <w:color w:val="auto"/>
          <w:sz w:val="24"/>
          <w:szCs w:val="24"/>
        </w:rPr>
      </w:pPr>
      <w:r>
        <w:rPr>
          <w:rFonts w:ascii="Times New Roman" w:hAnsi="Times New Roman" w:cs="Times New Roman"/>
          <w:b/>
          <w:bCs/>
          <w:color w:val="auto"/>
          <w:sz w:val="24"/>
          <w:szCs w:val="24"/>
        </w:rPr>
        <w:t>Terms</w:t>
      </w:r>
      <w:r w:rsidR="00C32EF5" w:rsidRPr="00DD68DE">
        <w:rPr>
          <w:rFonts w:ascii="Times New Roman" w:hAnsi="Times New Roman" w:cs="Times New Roman"/>
          <w:b/>
          <w:bCs/>
          <w:color w:val="auto"/>
          <w:sz w:val="24"/>
          <w:szCs w:val="24"/>
        </w:rPr>
        <w:t xml:space="preserve"> of Service</w:t>
      </w:r>
    </w:p>
    <w:p w14:paraId="457AD58C" w14:textId="3259F7DB" w:rsidR="00C32EF5" w:rsidRPr="00C32EF5" w:rsidRDefault="00C32EF5" w:rsidP="00C32EF5">
      <w:pPr>
        <w:rPr>
          <w:rFonts w:ascii="Times New Roman" w:hAnsi="Times New Roman" w:cs="Times New Roman"/>
          <w:sz w:val="24"/>
          <w:szCs w:val="24"/>
        </w:rPr>
      </w:pPr>
      <w:r w:rsidRPr="00C32EF5">
        <w:rPr>
          <w:rFonts w:ascii="Times New Roman" w:hAnsi="Times New Roman" w:cs="Times New Roman"/>
          <w:sz w:val="24"/>
          <w:szCs w:val="24"/>
        </w:rPr>
        <w:t xml:space="preserve">The initial contract term will be for </w:t>
      </w:r>
      <w:r w:rsidR="00655085">
        <w:rPr>
          <w:rFonts w:ascii="Times New Roman" w:hAnsi="Times New Roman" w:cs="Times New Roman"/>
          <w:sz w:val="24"/>
          <w:szCs w:val="24"/>
        </w:rPr>
        <w:t>twelve</w:t>
      </w:r>
      <w:r w:rsidRPr="00C32EF5">
        <w:rPr>
          <w:rFonts w:ascii="Times New Roman" w:hAnsi="Times New Roman" w:cs="Times New Roman"/>
          <w:sz w:val="24"/>
          <w:szCs w:val="24"/>
        </w:rPr>
        <w:t xml:space="preserve"> (</w:t>
      </w:r>
      <w:r w:rsidR="00655085">
        <w:rPr>
          <w:rFonts w:ascii="Times New Roman" w:hAnsi="Times New Roman" w:cs="Times New Roman"/>
          <w:sz w:val="24"/>
          <w:szCs w:val="24"/>
        </w:rPr>
        <w:t>1</w:t>
      </w:r>
      <w:r w:rsidRPr="00C32EF5">
        <w:rPr>
          <w:rFonts w:ascii="Times New Roman" w:hAnsi="Times New Roman" w:cs="Times New Roman"/>
          <w:sz w:val="24"/>
          <w:szCs w:val="24"/>
        </w:rPr>
        <w:t xml:space="preserve">2) </w:t>
      </w:r>
      <w:r w:rsidR="00655085">
        <w:rPr>
          <w:rFonts w:ascii="Times New Roman" w:hAnsi="Times New Roman" w:cs="Times New Roman"/>
          <w:sz w:val="24"/>
          <w:szCs w:val="24"/>
        </w:rPr>
        <w:t>months</w:t>
      </w:r>
      <w:r w:rsidRPr="00C32EF5">
        <w:rPr>
          <w:rFonts w:ascii="Times New Roman" w:hAnsi="Times New Roman" w:cs="Times New Roman"/>
          <w:sz w:val="24"/>
          <w:szCs w:val="24"/>
        </w:rPr>
        <w:t>, with the option for renewal</w:t>
      </w:r>
      <w:r w:rsidR="00655085">
        <w:rPr>
          <w:rFonts w:ascii="Times New Roman" w:hAnsi="Times New Roman" w:cs="Times New Roman"/>
          <w:sz w:val="24"/>
          <w:szCs w:val="24"/>
        </w:rPr>
        <w:t>/extension for an additional Three (3) 12-month periods for a total of 48 months.</w:t>
      </w:r>
    </w:p>
    <w:p w14:paraId="7FD626D2" w14:textId="77777777" w:rsidR="00FE098C" w:rsidRPr="00C32EF5" w:rsidRDefault="00FE098C">
      <w:pPr>
        <w:rPr>
          <w:rFonts w:ascii="Times New Roman" w:hAnsi="Times New Roman" w:cs="Times New Roman"/>
          <w:sz w:val="24"/>
          <w:szCs w:val="24"/>
        </w:rPr>
      </w:pPr>
    </w:p>
    <w:sectPr w:rsidR="00FE098C" w:rsidRPr="00C32EF5" w:rsidSect="00C32EF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EBE2EDE"/>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C4DCE4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331902BD"/>
    <w:multiLevelType w:val="hybridMultilevel"/>
    <w:tmpl w:val="99AC0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794746">
    <w:abstractNumId w:val="1"/>
  </w:num>
  <w:num w:numId="2" w16cid:durableId="2120249628">
    <w:abstractNumId w:val="0"/>
  </w:num>
  <w:num w:numId="3" w16cid:durableId="203105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EF5"/>
    <w:rsid w:val="00092483"/>
    <w:rsid w:val="00220080"/>
    <w:rsid w:val="00224BD6"/>
    <w:rsid w:val="002456B1"/>
    <w:rsid w:val="00655085"/>
    <w:rsid w:val="00747C13"/>
    <w:rsid w:val="00A4151C"/>
    <w:rsid w:val="00A92586"/>
    <w:rsid w:val="00A96164"/>
    <w:rsid w:val="00AE553A"/>
    <w:rsid w:val="00C32EF5"/>
    <w:rsid w:val="00C4300B"/>
    <w:rsid w:val="00CE7052"/>
    <w:rsid w:val="00D14C42"/>
    <w:rsid w:val="00DD68DE"/>
    <w:rsid w:val="00F15934"/>
    <w:rsid w:val="00FE0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548CC"/>
  <w15:chartTrackingRefBased/>
  <w15:docId w15:val="{040B0973-B8E2-4598-8369-D902C0B42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EF5"/>
    <w:pPr>
      <w:spacing w:after="200" w:line="276" w:lineRule="auto"/>
    </w:pPr>
    <w:rPr>
      <w:rFonts w:eastAsiaTheme="minorEastAsia"/>
      <w:kern w:val="0"/>
      <w:sz w:val="22"/>
      <w:szCs w:val="22"/>
    </w:rPr>
  </w:style>
  <w:style w:type="paragraph" w:styleId="Heading1">
    <w:name w:val="heading 1"/>
    <w:basedOn w:val="Normal"/>
    <w:next w:val="Normal"/>
    <w:link w:val="Heading1Char"/>
    <w:uiPriority w:val="9"/>
    <w:qFormat/>
    <w:rsid w:val="00C32E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32E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32E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32E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2E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2E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2E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2E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2E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2E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32E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2E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2E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2E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2E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2E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2E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2EF5"/>
    <w:rPr>
      <w:rFonts w:eastAsiaTheme="majorEastAsia" w:cstheme="majorBidi"/>
      <w:color w:val="272727" w:themeColor="text1" w:themeTint="D8"/>
    </w:rPr>
  </w:style>
  <w:style w:type="paragraph" w:styleId="Title">
    <w:name w:val="Title"/>
    <w:basedOn w:val="Normal"/>
    <w:next w:val="Normal"/>
    <w:link w:val="TitleChar"/>
    <w:uiPriority w:val="10"/>
    <w:qFormat/>
    <w:rsid w:val="00C32E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2E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2E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2E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2EF5"/>
    <w:pPr>
      <w:spacing w:before="160"/>
      <w:jc w:val="center"/>
    </w:pPr>
    <w:rPr>
      <w:i/>
      <w:iCs/>
      <w:color w:val="404040" w:themeColor="text1" w:themeTint="BF"/>
    </w:rPr>
  </w:style>
  <w:style w:type="character" w:customStyle="1" w:styleId="QuoteChar">
    <w:name w:val="Quote Char"/>
    <w:basedOn w:val="DefaultParagraphFont"/>
    <w:link w:val="Quote"/>
    <w:uiPriority w:val="29"/>
    <w:rsid w:val="00C32EF5"/>
    <w:rPr>
      <w:i/>
      <w:iCs/>
      <w:color w:val="404040" w:themeColor="text1" w:themeTint="BF"/>
    </w:rPr>
  </w:style>
  <w:style w:type="paragraph" w:styleId="ListParagraph">
    <w:name w:val="List Paragraph"/>
    <w:basedOn w:val="Normal"/>
    <w:uiPriority w:val="34"/>
    <w:qFormat/>
    <w:rsid w:val="00C32EF5"/>
    <w:pPr>
      <w:ind w:left="720"/>
      <w:contextualSpacing/>
    </w:pPr>
  </w:style>
  <w:style w:type="character" w:styleId="IntenseEmphasis">
    <w:name w:val="Intense Emphasis"/>
    <w:basedOn w:val="DefaultParagraphFont"/>
    <w:uiPriority w:val="21"/>
    <w:qFormat/>
    <w:rsid w:val="00C32EF5"/>
    <w:rPr>
      <w:i/>
      <w:iCs/>
      <w:color w:val="0F4761" w:themeColor="accent1" w:themeShade="BF"/>
    </w:rPr>
  </w:style>
  <w:style w:type="paragraph" w:styleId="IntenseQuote">
    <w:name w:val="Intense Quote"/>
    <w:basedOn w:val="Normal"/>
    <w:next w:val="Normal"/>
    <w:link w:val="IntenseQuoteChar"/>
    <w:uiPriority w:val="30"/>
    <w:qFormat/>
    <w:rsid w:val="00C32E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2EF5"/>
    <w:rPr>
      <w:i/>
      <w:iCs/>
      <w:color w:val="0F4761" w:themeColor="accent1" w:themeShade="BF"/>
    </w:rPr>
  </w:style>
  <w:style w:type="character" w:styleId="IntenseReference">
    <w:name w:val="Intense Reference"/>
    <w:basedOn w:val="DefaultParagraphFont"/>
    <w:uiPriority w:val="32"/>
    <w:qFormat/>
    <w:rsid w:val="00C32EF5"/>
    <w:rPr>
      <w:b/>
      <w:bCs/>
      <w:smallCaps/>
      <w:color w:val="0F4761" w:themeColor="accent1" w:themeShade="BF"/>
      <w:spacing w:val="5"/>
    </w:rPr>
  </w:style>
  <w:style w:type="paragraph" w:styleId="ListBullet">
    <w:name w:val="List Bullet"/>
    <w:basedOn w:val="Normal"/>
    <w:uiPriority w:val="99"/>
    <w:unhideWhenUsed/>
    <w:rsid w:val="00C32EF5"/>
    <w:pPr>
      <w:numPr>
        <w:numId w:val="1"/>
      </w:numPr>
      <w:tabs>
        <w:tab w:val="clear" w:pos="360"/>
      </w:tabs>
      <w:ind w:left="0" w:firstLine="0"/>
      <w:contextualSpacing/>
    </w:pPr>
  </w:style>
  <w:style w:type="paragraph" w:styleId="ListNumber">
    <w:name w:val="List Number"/>
    <w:basedOn w:val="Normal"/>
    <w:uiPriority w:val="99"/>
    <w:unhideWhenUsed/>
    <w:rsid w:val="00C32EF5"/>
    <w:pPr>
      <w:numPr>
        <w:numId w:val="2"/>
      </w:numPr>
      <w:tabs>
        <w:tab w:val="clear" w:pos="360"/>
      </w:tabs>
      <w:ind w:left="0" w:firstLine="0"/>
      <w:contextualSpacing/>
    </w:pPr>
  </w:style>
  <w:style w:type="paragraph" w:styleId="NormalWeb">
    <w:name w:val="Normal (Web)"/>
    <w:basedOn w:val="Normal"/>
    <w:uiPriority w:val="99"/>
    <w:semiHidden/>
    <w:unhideWhenUsed/>
    <w:rsid w:val="00DD68DE"/>
    <w:pPr>
      <w:spacing w:before="100" w:beforeAutospacing="1" w:after="100" w:afterAutospacing="1" w:line="240" w:lineRule="auto"/>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Indiana Office of Technology</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Roosevelt L</dc:creator>
  <cp:keywords/>
  <dc:description/>
  <cp:lastModifiedBy>Dutton, Lynne J.</cp:lastModifiedBy>
  <cp:revision>2</cp:revision>
  <cp:lastPrinted>2025-08-11T12:30:00Z</cp:lastPrinted>
  <dcterms:created xsi:type="dcterms:W3CDTF">2025-08-12T12:43:00Z</dcterms:created>
  <dcterms:modified xsi:type="dcterms:W3CDTF">2025-08-12T12:43:00Z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65e50225-d988-4f0f-b131-f27cb0aebe47</vt:lpwstr>
  </property>
</Properties>
</file>